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2B1080">
      <w:pPr>
        <w:keepNext w:val="0"/>
        <w:keepLines w:val="0"/>
        <w:widowControl/>
        <w:suppressLineNumbers w:val="0"/>
        <w:jc w:val="center"/>
        <w:rPr>
          <w:rFonts w:ascii="Times New Roman" w:hAnsi="Times New Roman" w:eastAsia="方正小标宋简体" w:cs="Times New Roman"/>
          <w:color w:val="000000"/>
          <w:kern w:val="0"/>
          <w:sz w:val="44"/>
          <w:szCs w:val="44"/>
          <w:lang w:val="en-US" w:eastAsia="zh-CN" w:bidi="ar"/>
        </w:rPr>
      </w:pPr>
      <w:r>
        <w:rPr>
          <w:rFonts w:hint="default" w:ascii="Times New Roman" w:hAnsi="Times New Roman" w:eastAsia="Arial" w:cs="Times New Roman"/>
          <w:b/>
          <w:bCs/>
          <w:i w:val="0"/>
          <w:iCs w:val="0"/>
          <w:color w:val="000000"/>
          <w:kern w:val="0"/>
          <w:sz w:val="44"/>
          <w:szCs w:val="44"/>
          <w:highlight w:val="none"/>
          <w:vertAlign w:val="baseline"/>
          <w:lang w:val="en-US" w:eastAsia="zh-CN" w:bidi="ar"/>
        </w:rPr>
        <w:t>CCCC (601800SH, 1800HK)</w:t>
      </w:r>
    </w:p>
    <w:p w14:paraId="740C7C3F">
      <w:pPr>
        <w:keepNext w:val="0"/>
        <w:keepLines w:val="0"/>
        <w:widowControl/>
        <w:suppressLineNumbers w:val="0"/>
        <w:jc w:val="center"/>
        <w:rPr>
          <w:rFonts w:hint="default" w:ascii="Times New Roman" w:hAnsi="Times New Roman" w:eastAsia="方正小标宋简体" w:cs="Times New Roman"/>
          <w:color w:val="000000"/>
          <w:kern w:val="0"/>
          <w:sz w:val="44"/>
          <w:szCs w:val="44"/>
          <w:lang w:val="en-US" w:eastAsia="zh-CN" w:bidi="ar"/>
        </w:rPr>
      </w:pPr>
      <w:r>
        <w:rPr>
          <w:rFonts w:hint="default" w:ascii="Times New Roman" w:hAnsi="Times New Roman" w:eastAsia="Arial" w:cs="Times New Roman"/>
          <w:b/>
          <w:bCs/>
          <w:i w:val="0"/>
          <w:iCs w:val="0"/>
          <w:color w:val="000000"/>
          <w:kern w:val="0"/>
          <w:sz w:val="44"/>
          <w:szCs w:val="44"/>
          <w:highlight w:val="none"/>
          <w:vertAlign w:val="baseline"/>
          <w:lang w:val="en-US" w:eastAsia="zh-CN" w:bidi="ar"/>
        </w:rPr>
        <w:t>2025 Interim Results Industry Analyst Conference</w:t>
      </w:r>
    </w:p>
    <w:p w14:paraId="37F48953">
      <w:pPr>
        <w:keepNext w:val="0"/>
        <w:keepLines w:val="0"/>
        <w:widowControl/>
        <w:suppressLineNumbers w:val="0"/>
        <w:jc w:val="center"/>
        <w:rPr>
          <w:rFonts w:hint="default" w:ascii="Times New Roman" w:hAnsi="Times New Roman" w:eastAsia="楷体" w:cs="Times New Roman"/>
          <w:color w:val="000000"/>
          <w:kern w:val="0"/>
          <w:sz w:val="32"/>
          <w:szCs w:val="32"/>
          <w:lang w:val="en-US" w:eastAsia="zh-CN" w:bidi="ar"/>
        </w:rPr>
      </w:pPr>
      <w:r>
        <w:rPr>
          <w:rFonts w:hint="eastAsia" w:ascii="Times New Roman" w:hAnsi="Times New Roman" w:eastAsia="Arial" w:cs="Times New Roman"/>
          <w:b w:val="0"/>
          <w:bCs w:val="0"/>
          <w:i w:val="0"/>
          <w:iCs w:val="0"/>
          <w:color w:val="000000"/>
          <w:kern w:val="0"/>
          <w:sz w:val="32"/>
          <w:szCs w:val="32"/>
          <w:highlight w:val="none"/>
          <w:vertAlign w:val="baseline"/>
          <w:lang w:val="en-US" w:eastAsia="zh-CN" w:bidi="ar"/>
        </w:rPr>
        <w:t>T</w:t>
      </w:r>
      <w:r>
        <w:rPr>
          <w:rFonts w:hint="default" w:ascii="Times New Roman" w:hAnsi="Times New Roman" w:eastAsia="Arial" w:cs="Times New Roman"/>
          <w:b w:val="0"/>
          <w:bCs w:val="0"/>
          <w:i w:val="0"/>
          <w:iCs w:val="0"/>
          <w:color w:val="000000"/>
          <w:kern w:val="0"/>
          <w:sz w:val="32"/>
          <w:szCs w:val="32"/>
          <w:highlight w:val="none"/>
          <w:vertAlign w:val="baseline"/>
          <w:lang w:val="en-US" w:eastAsia="zh-CN" w:bidi="ar"/>
        </w:rPr>
        <w:t>ime: Tuesday afternoon, Sept. 2</w:t>
      </w:r>
      <w:r>
        <w:rPr>
          <w:rFonts w:hint="default" w:ascii="Times New Roman" w:hAnsi="Times New Roman" w:eastAsia="Arial" w:cs="Times New Roman"/>
          <w:b w:val="0"/>
          <w:bCs w:val="0"/>
          <w:i w:val="0"/>
          <w:iCs w:val="0"/>
          <w:color w:val="000000"/>
          <w:kern w:val="0"/>
          <w:sz w:val="32"/>
          <w:szCs w:val="32"/>
          <w:highlight w:val="none"/>
          <w:vertAlign w:val="superscript"/>
          <w:lang w:val="en-US" w:eastAsia="zh-CN" w:bidi="ar"/>
        </w:rPr>
        <w:t>nd</w:t>
      </w:r>
      <w:r>
        <w:rPr>
          <w:rFonts w:hint="default" w:ascii="Times New Roman" w:hAnsi="Times New Roman" w:eastAsia="Arial" w:cs="Times New Roman"/>
          <w:b w:val="0"/>
          <w:bCs w:val="0"/>
          <w:i w:val="0"/>
          <w:iCs w:val="0"/>
          <w:color w:val="000000"/>
          <w:kern w:val="0"/>
          <w:sz w:val="32"/>
          <w:szCs w:val="32"/>
          <w:highlight w:val="none"/>
          <w:vertAlign w:val="baseline"/>
          <w:lang w:val="en-US" w:eastAsia="zh-CN" w:bidi="ar"/>
        </w:rPr>
        <w:t>, 2025.</w:t>
      </w:r>
    </w:p>
    <w:p w14:paraId="6B8C8C4D">
      <w:pPr>
        <w:keepNext w:val="0"/>
        <w:keepLines w:val="0"/>
        <w:widowControl/>
        <w:suppressLineNumbers w:val="0"/>
        <w:jc w:val="center"/>
        <w:rPr>
          <w:rFonts w:hint="default" w:ascii="Times New Roman" w:hAnsi="Times New Roman" w:eastAsia="楷体" w:cs="Times New Roman"/>
          <w:color w:val="000000"/>
          <w:kern w:val="0"/>
          <w:sz w:val="32"/>
          <w:szCs w:val="32"/>
          <w:lang w:val="en-US" w:eastAsia="zh-CN" w:bidi="ar"/>
        </w:rPr>
      </w:pPr>
      <w:r>
        <w:rPr>
          <w:rFonts w:hint="default" w:ascii="Times New Roman" w:hAnsi="Times New Roman" w:eastAsia="Arial" w:cs="Times New Roman"/>
          <w:b w:val="0"/>
          <w:bCs w:val="0"/>
          <w:i w:val="0"/>
          <w:iCs w:val="0"/>
          <w:color w:val="000000"/>
          <w:kern w:val="0"/>
          <w:sz w:val="32"/>
          <w:szCs w:val="32"/>
          <w:highlight w:val="none"/>
          <w:vertAlign w:val="baseline"/>
          <w:lang w:val="en-US" w:eastAsia="zh-CN" w:bidi="ar"/>
        </w:rPr>
        <w:t>Location</w:t>
      </w:r>
      <w:r>
        <w:rPr>
          <w:rFonts w:hint="default" w:ascii="Times New Roman" w:hAnsi="Times New Roman" w:eastAsia="Arial" w:cs="Times New Roman"/>
          <w:b w:val="0"/>
          <w:bCs w:val="0"/>
          <w:i w:val="0"/>
          <w:iCs w:val="0"/>
          <w:color w:val="000000"/>
          <w:kern w:val="0"/>
          <w:sz w:val="32"/>
          <w:szCs w:val="32"/>
          <w:highlight w:val="none"/>
          <w:vertAlign w:val="baseline"/>
          <w:lang w:val="en-US" w:eastAsia="zh-CN" w:bidi="ar"/>
        </w:rPr>
        <w:t xml:space="preserve">: </w:t>
      </w:r>
      <w:r>
        <w:rPr>
          <w:rFonts w:hint="default" w:ascii="Times New Roman" w:hAnsi="Times New Roman" w:eastAsia="Arial" w:cs="Times New Roman"/>
          <w:b w:val="0"/>
          <w:bCs w:val="0"/>
          <w:i w:val="0"/>
          <w:iCs w:val="0"/>
          <w:color w:val="000000"/>
          <w:kern w:val="0"/>
          <w:sz w:val="32"/>
          <w:szCs w:val="32"/>
          <w:highlight w:val="none"/>
          <w:vertAlign w:val="baseline"/>
          <w:lang w:val="en-US" w:eastAsia="zh-CN" w:bidi="ar"/>
        </w:rPr>
        <w:t>Conference call</w:t>
      </w:r>
    </w:p>
    <w:p w14:paraId="6EEE0EA0">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default" w:ascii="Times New Roman" w:hAnsi="Times New Roman" w:eastAsia="Arial" w:cs="Times New Roman"/>
          <w:b w:val="0"/>
          <w:bCs w:val="0"/>
          <w:i w:val="0"/>
          <w:iCs w:val="0"/>
          <w:color w:val="000000"/>
          <w:kern w:val="0"/>
          <w:sz w:val="32"/>
          <w:szCs w:val="32"/>
          <w:highlight w:val="none"/>
          <w:vertAlign w:val="baseline"/>
          <w:lang w:val="en-US" w:eastAsia="zh-CN" w:bidi="ar"/>
        </w:rPr>
      </w:pPr>
      <w:r>
        <w:rPr>
          <w:rFonts w:hint="default" w:ascii="Times New Roman" w:hAnsi="Times New Roman" w:eastAsia="Arial" w:cs="Times New Roman"/>
          <w:b w:val="0"/>
          <w:bCs w:val="0"/>
          <w:i w:val="0"/>
          <w:iCs w:val="0"/>
          <w:color w:val="000000"/>
          <w:kern w:val="0"/>
          <w:sz w:val="32"/>
          <w:szCs w:val="32"/>
          <w:highlight w:val="none"/>
          <w:vertAlign w:val="baseline"/>
          <w:lang w:val="en-US" w:eastAsia="zh-CN" w:bidi="ar"/>
        </w:rPr>
        <w:t>Attendees of the Company</w:t>
      </w:r>
      <w:r>
        <w:rPr>
          <w:rFonts w:hint="default" w:ascii="Times New Roman" w:hAnsi="Times New Roman" w:eastAsia="Arial" w:cs="Times New Roman"/>
          <w:b w:val="0"/>
          <w:bCs w:val="0"/>
          <w:i w:val="0"/>
          <w:iCs w:val="0"/>
          <w:color w:val="000000"/>
          <w:kern w:val="0"/>
          <w:sz w:val="32"/>
          <w:szCs w:val="32"/>
          <w:highlight w:val="none"/>
          <w:vertAlign w:val="baseline"/>
          <w:lang w:val="en-US" w:eastAsia="zh-CN" w:bidi="ar"/>
        </w:rPr>
        <w:t>:</w:t>
      </w:r>
    </w:p>
    <w:p w14:paraId="539AFF81">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kern w:val="0"/>
          <w:sz w:val="32"/>
          <w:szCs w:val="32"/>
          <w:lang w:val="en-US" w:eastAsia="zh-CN" w:bidi="ar"/>
        </w:rPr>
      </w:pPr>
      <w:r>
        <w:rPr>
          <w:rFonts w:hint="default" w:ascii="Times New Roman" w:hAnsi="Times New Roman" w:eastAsia="Arial" w:cs="Times New Roman"/>
          <w:b w:val="0"/>
          <w:bCs w:val="0"/>
          <w:i w:val="0"/>
          <w:iCs w:val="0"/>
          <w:color w:val="000000"/>
          <w:kern w:val="0"/>
          <w:sz w:val="32"/>
          <w:szCs w:val="32"/>
          <w:highlight w:val="none"/>
          <w:vertAlign w:val="baseline"/>
          <w:lang w:val="en-US" w:eastAsia="zh-CN" w:bidi="ar"/>
        </w:rPr>
        <w:t>Yu Jingjing, Securities Affairs Representative</w:t>
      </w:r>
    </w:p>
    <w:p w14:paraId="425EDEEF">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default" w:ascii="Times New Roman" w:hAnsi="Times New Roman" w:eastAsia="Arial" w:cs="Times New Roman"/>
          <w:b w:val="0"/>
          <w:bCs w:val="0"/>
          <w:i w:val="0"/>
          <w:iCs w:val="0"/>
          <w:color w:val="000000"/>
          <w:kern w:val="0"/>
          <w:sz w:val="32"/>
          <w:szCs w:val="32"/>
          <w:highlight w:val="none"/>
          <w:vertAlign w:val="baseline"/>
          <w:lang w:val="en-US" w:eastAsia="zh-CN" w:bidi="ar"/>
        </w:rPr>
      </w:pPr>
      <w:r>
        <w:rPr>
          <w:rFonts w:hint="default" w:ascii="Times New Roman" w:hAnsi="Times New Roman" w:eastAsia="Arial" w:cs="Times New Roman"/>
          <w:b w:val="0"/>
          <w:bCs w:val="0"/>
          <w:i w:val="0"/>
          <w:iCs w:val="0"/>
          <w:color w:val="000000"/>
          <w:kern w:val="0"/>
          <w:sz w:val="32"/>
          <w:szCs w:val="32"/>
          <w:highlight w:val="none"/>
          <w:vertAlign w:val="baseline"/>
          <w:lang w:val="en-US" w:eastAsia="zh-CN" w:bidi="ar"/>
        </w:rPr>
        <w:t>Participating institutions:</w:t>
      </w:r>
    </w:p>
    <w:p w14:paraId="01503D1A">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kern w:val="0"/>
          <w:sz w:val="32"/>
          <w:szCs w:val="32"/>
          <w:lang w:val="en-US" w:eastAsia="zh-CN" w:bidi="ar"/>
        </w:rPr>
      </w:pPr>
      <w:r>
        <w:rPr>
          <w:rFonts w:hint="default" w:ascii="Times New Roman" w:hAnsi="Times New Roman" w:eastAsia="Arial" w:cs="Times New Roman"/>
          <w:b w:val="0"/>
          <w:bCs w:val="0"/>
          <w:i w:val="0"/>
          <w:iCs w:val="0"/>
          <w:color w:val="000000"/>
          <w:kern w:val="0"/>
          <w:sz w:val="32"/>
          <w:szCs w:val="32"/>
          <w:highlight w:val="none"/>
          <w:vertAlign w:val="baseline"/>
          <w:lang w:val="en-US" w:eastAsia="zh-CN" w:bidi="ar"/>
        </w:rPr>
        <w:t>GF Securities, Huatai Securities, UBS Securities, Morgan Stanley, and other institutional investors and analysts.</w:t>
      </w:r>
    </w:p>
    <w:p w14:paraId="5F422C4C">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kern w:val="0"/>
          <w:sz w:val="32"/>
          <w:szCs w:val="32"/>
          <w:lang w:val="en-US" w:eastAsia="zh-CN" w:bidi="ar"/>
        </w:rPr>
      </w:pPr>
    </w:p>
    <w:p w14:paraId="18734891">
      <w:pPr>
        <w:keepNext w:val="0"/>
        <w:keepLines w:val="0"/>
        <w:widowControl/>
        <w:suppressLineNumbers w:val="0"/>
        <w:jc w:val="center"/>
        <w:rPr>
          <w:rFonts w:hint="default" w:ascii="Times New Roman" w:hAnsi="Times New Roman" w:eastAsia="黑体" w:cs="Times New Roman"/>
          <w:color w:val="000000"/>
          <w:kern w:val="0"/>
          <w:sz w:val="32"/>
          <w:szCs w:val="32"/>
          <w:lang w:val="en-US" w:eastAsia="zh-CN" w:bidi="ar"/>
        </w:rPr>
      </w:pPr>
      <w:r>
        <w:rPr>
          <w:rFonts w:hint="default" w:ascii="Times New Roman" w:hAnsi="Times New Roman" w:eastAsia="Arial" w:cs="Times New Roman"/>
          <w:b/>
          <w:bCs/>
          <w:i w:val="0"/>
          <w:iCs w:val="0"/>
          <w:color w:val="000000"/>
          <w:kern w:val="0"/>
          <w:sz w:val="32"/>
          <w:szCs w:val="32"/>
          <w:highlight w:val="none"/>
          <w:vertAlign w:val="baseline"/>
          <w:lang w:val="en-US" w:eastAsia="zh-CN" w:bidi="ar"/>
        </w:rPr>
        <w:t xml:space="preserve">Part 1: </w:t>
      </w:r>
      <w:r>
        <w:rPr>
          <w:rFonts w:hint="eastAsia" w:ascii="Times New Roman" w:hAnsi="Times New Roman" w:eastAsia="Arial" w:cs="Times New Roman"/>
          <w:b/>
          <w:bCs/>
          <w:i w:val="0"/>
          <w:iCs w:val="0"/>
          <w:color w:val="000000"/>
          <w:kern w:val="0"/>
          <w:sz w:val="32"/>
          <w:szCs w:val="32"/>
          <w:highlight w:val="none"/>
          <w:vertAlign w:val="baseline"/>
          <w:lang w:val="en-US" w:eastAsia="zh-CN" w:bidi="ar"/>
        </w:rPr>
        <w:t>2025 Interim Results Report</w:t>
      </w:r>
    </w:p>
    <w:p w14:paraId="771E258F">
      <w:pPr>
        <w:pStyle w:val="6"/>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60" w:lineRule="exact"/>
        <w:ind w:left="0" w:right="0" w:firstLine="560" w:firstLineChars="200"/>
        <w:textAlignment w:val="auto"/>
        <w:rPr>
          <w:rFonts w:hint="default" w:ascii="Times New Roman" w:hAnsi="Times New Roman" w:eastAsia="仿宋" w:cs="Times New Roman"/>
          <w:i w:val="0"/>
          <w:iCs w:val="0"/>
          <w:caps w:val="0"/>
          <w:color w:val="0F1115"/>
          <w:spacing w:val="0"/>
          <w:sz w:val="28"/>
          <w:szCs w:val="28"/>
          <w:shd w:val="clear" w:color="auto" w:fill="FFFFFF"/>
        </w:rPr>
      </w:pP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 xml:space="preserve">In the first half of 2025, China Communications Construction Company Limited (CCCC) achieved a total operating revenue of </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RMB</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337</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 xml:space="preserve">055 </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m</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illion, decreasing 5.71% year-on-year and failing to meet the growth target of 5% set in the annual business plan. Given the decline in construction spending, CCCC's domestic business growth inevitably slowed down. Besides, it took the initiative to delay the implementation of some projects under construction to ensure the collection of accounts, which also contributed to this negative year-on-year growth. As a result of its shrunk business scale and the losses</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 xml:space="preserve"> on certain projects</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 xml:space="preserve"> of its overseas projects, its gross profit for this period was </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RMB</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35</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 xml:space="preserve">875 </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m</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illion, a year-on-year decrease of 13.88%. The gross profits in various sectors declined to varying degrees due to the shrunken scales and increased expenses. Generally speaking, the above-mentioned changes are reasonable fluctuations given the current industry environment.</w:t>
      </w:r>
    </w:p>
    <w:p w14:paraId="24ACB5B7">
      <w:pPr>
        <w:pStyle w:val="6"/>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60" w:lineRule="exact"/>
        <w:ind w:left="0" w:right="0" w:firstLine="560" w:firstLineChars="200"/>
        <w:textAlignment w:val="auto"/>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pP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 xml:space="preserve">As to the assessment based on total profit, ROE, asset-to-liability ratio, operating cash flow ratio, operating income rate, overall labor effectiveness, and R&amp;D intensity, CCCC realized a total profit of </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RMB</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16</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23</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0 m</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illion, a year-on-year decrease of 10.59%. This decline was smaller than that in its gross profit, which was mainly due to its proper control of R&amp;D expenses, administrative expenses, and especially financial expenses: interest income from the Public-Private Partnership (PPP) projects. The net profit attributable to shareholders was RMB 9</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 xml:space="preserve">568 </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m</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illion,</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 xml:space="preserve"> </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a year-on-year decrease of 16.06%.</w:t>
      </w:r>
    </w:p>
    <w:p w14:paraId="02DBEF33">
      <w:pPr>
        <w:pStyle w:val="6"/>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60" w:lineRule="exact"/>
        <w:ind w:left="0" w:right="0" w:firstLine="560" w:firstLineChars="200"/>
        <w:textAlignment w:val="auto"/>
        <w:rPr>
          <w:rFonts w:hint="default" w:ascii="Times New Roman" w:hAnsi="Times New Roman" w:eastAsia="仿宋" w:cs="Times New Roman"/>
          <w:i w:val="0"/>
          <w:iCs w:val="0"/>
          <w:caps w:val="0"/>
          <w:color w:val="0F1115"/>
          <w:spacing w:val="0"/>
          <w:sz w:val="28"/>
          <w:szCs w:val="28"/>
          <w:shd w:val="clear" w:color="auto" w:fill="FFFFFF"/>
        </w:rPr>
      </w:pP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In terms of market development,</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t</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 xml:space="preserve">he contract value of the newly signed contracts totaled </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RMB</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991</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 xml:space="preserve">054 </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m</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 xml:space="preserve">illion in the first half of the year, a year-on-year increase of 3.1%. That of the newly signed contracts in emerging business areas was </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RMB</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320</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3</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00</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 xml:space="preserve"> </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m</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 xml:space="preserve">illion, accounting for more than 32% of the total amount. That of the newly signed overseas business contracts reached </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RMB</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200</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4</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00</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 xml:space="preserve"> </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m</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illion, contributing</w:t>
      </w:r>
      <w:r>
        <w:rPr>
          <w:rFonts w:hint="default" w:ascii="Times New Roman" w:hAnsi="Times New Roman" w:eastAsia="宋体" w:cs="Times New Roman"/>
          <w:b w:val="0"/>
          <w:bCs w:val="0"/>
          <w:i w:val="0"/>
          <w:iCs w:val="0"/>
          <w:caps w:val="0"/>
          <w:color w:val="0F1115"/>
          <w:spacing w:val="0"/>
          <w:sz w:val="28"/>
          <w:szCs w:val="28"/>
          <w:highlight w:val="none"/>
          <w:shd w:val="clear" w:color="auto" w:fill="FFFFFF"/>
          <w:vertAlign w:val="baseline"/>
          <w:lang w:val="en-US" w:eastAsia="zh-CN"/>
        </w:rPr>
        <w:t>s</w:t>
      </w: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rPr>
        <w:t xml:space="preserve"> 20%. CCCC's unremitting effort to pursue transformation and upgrading and open up both domestic and foreign markets has finally borne fruit.</w:t>
      </w:r>
    </w:p>
    <w:p w14:paraId="1E090947">
      <w:pPr>
        <w:pStyle w:val="6"/>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60" w:lineRule="exact"/>
        <w:ind w:left="0" w:right="0" w:firstLine="560" w:firstLineChars="200"/>
        <w:textAlignment w:val="auto"/>
        <w:rPr>
          <w:rFonts w:hint="default" w:ascii="Times New Roman" w:hAnsi="Times New Roman" w:eastAsia="仿宋" w:cs="Times New Roman"/>
          <w:i w:val="0"/>
          <w:iCs w:val="0"/>
          <w:caps w:val="0"/>
          <w:color w:val="0F1115"/>
          <w:spacing w:val="0"/>
          <w:sz w:val="28"/>
          <w:szCs w:val="28"/>
        </w:rPr>
      </w:pPr>
      <w:r>
        <w:rPr>
          <w:rFonts w:hint="default" w:ascii="Times New Roman" w:hAnsi="Times New Roman" w:eastAsia="Arial" w:cs="Times New Roman"/>
          <w:b w:val="0"/>
          <w:bCs w:val="0"/>
          <w:i w:val="0"/>
          <w:iCs w:val="0"/>
          <w:caps w:val="0"/>
          <w:color w:val="0F1115"/>
          <w:spacing w:val="0"/>
          <w:sz w:val="28"/>
          <w:szCs w:val="28"/>
          <w:highlight w:val="none"/>
          <w:shd w:val="clear" w:color="auto" w:fill="FFFFFF"/>
          <w:vertAlign w:val="baseline"/>
          <w:lang w:val="en-US" w:eastAsia="zh-CN"/>
        </w:rPr>
        <w:t>There are other issues of concern, such as those about cash dividends, which are not included in CCCC's interim results announcement. Please believe that the management of CCCC pays close attention to the demands of investors and will very carefully manage the expectations for dividends. CCCC will discuss the feasibility of annual pre-dividends within this year and give specific plans before the end of 2025.</w:t>
      </w:r>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A2167">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F6D67D">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AF6D67D">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3B219A"/>
    <w:rsid w:val="01B464A4"/>
    <w:rsid w:val="042F62B6"/>
    <w:rsid w:val="04575F38"/>
    <w:rsid w:val="053F69CD"/>
    <w:rsid w:val="076F17EB"/>
    <w:rsid w:val="09E638BB"/>
    <w:rsid w:val="0D335069"/>
    <w:rsid w:val="0DD04666"/>
    <w:rsid w:val="101F18D4"/>
    <w:rsid w:val="106F0166"/>
    <w:rsid w:val="180B0603"/>
    <w:rsid w:val="18932E60"/>
    <w:rsid w:val="20340A84"/>
    <w:rsid w:val="228700B2"/>
    <w:rsid w:val="233673ED"/>
    <w:rsid w:val="264A7253"/>
    <w:rsid w:val="2C0B09AC"/>
    <w:rsid w:val="2D40315E"/>
    <w:rsid w:val="2E04551F"/>
    <w:rsid w:val="324A4137"/>
    <w:rsid w:val="32D00AE0"/>
    <w:rsid w:val="3A9248CD"/>
    <w:rsid w:val="3C9A5CBB"/>
    <w:rsid w:val="3CBD0327"/>
    <w:rsid w:val="43D441A9"/>
    <w:rsid w:val="44305883"/>
    <w:rsid w:val="4565155C"/>
    <w:rsid w:val="458D2861"/>
    <w:rsid w:val="48F52BF7"/>
    <w:rsid w:val="4CEA2D71"/>
    <w:rsid w:val="4DE82D2A"/>
    <w:rsid w:val="4F9A44F8"/>
    <w:rsid w:val="5345477B"/>
    <w:rsid w:val="560B1CAC"/>
    <w:rsid w:val="570A5ABF"/>
    <w:rsid w:val="596F2552"/>
    <w:rsid w:val="629E5C56"/>
    <w:rsid w:val="65C23A09"/>
    <w:rsid w:val="669406BC"/>
    <w:rsid w:val="69B61AD7"/>
    <w:rsid w:val="69F10D61"/>
    <w:rsid w:val="6E900B48"/>
    <w:rsid w:val="723B219A"/>
    <w:rsid w:val="7258372B"/>
    <w:rsid w:val="7329156C"/>
    <w:rsid w:val="7592164A"/>
    <w:rsid w:val="76B26366"/>
    <w:rsid w:val="785C7CED"/>
    <w:rsid w:val="79872B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rPr>
      <w:sz w:val="24"/>
    </w:r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1880</Words>
  <Characters>10386</Characters>
  <Lines>0</Lines>
  <Paragraphs>0</Paragraphs>
  <TotalTime>2</TotalTime>
  <ScaleCrop>false</ScaleCrop>
  <LinksUpToDate>false</LinksUpToDate>
  <CharactersWithSpaces>12232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2025-09-05T02:53:00Z</dcterms:created>
  <dc:creator>Alamo.</dc:creator>
  <cp:lastModifiedBy>Alamo.</cp:lastModifiedBy>
  <dcterms:modified xsi:type="dcterms:W3CDTF">2025-09-17T06:45:05Z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892EF05FF5034E6091936417E93D1A11_13</vt:lpwstr>
  </property>
  <property fmtid="{D5CDD505-2E9C-101B-9397-08002B2CF9AE}" pid="3" name="KSOProductBuildVer">
    <vt:lpwstr>2052-12.1.0.21915</vt:lpwstr>
  </property>
  <property fmtid="{D5CDD505-2E9C-101B-9397-08002B2CF9AE}" pid="4" name="KSOTemplateDocerSaveRecord">
    <vt:lpwstr>eyJoZGlkIjoiZDJlMWRiOWIxNzQ0YTc2NGFmYWMwZGE1ZTg0ZGY2NTEiLCJ1c2VySWQiOiIzMDA3MzQ4NzAifQ==</vt:lpwstr>
  </property>
</Properties>
</file>